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FE" w:rsidRPr="007C4069" w:rsidRDefault="002A79FE" w:rsidP="008B7B1F">
      <w:pPr>
        <w:tabs>
          <w:tab w:val="left" w:pos="282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C4069">
        <w:rPr>
          <w:rFonts w:ascii="Arial" w:hAnsi="Arial" w:cs="Arial"/>
          <w:color w:val="000000" w:themeColor="text1"/>
          <w:sz w:val="20"/>
          <w:szCs w:val="20"/>
        </w:rPr>
        <w:t>Course description</w:t>
      </w:r>
    </w:p>
    <w:p w:rsidR="002A79FE" w:rsidRPr="007C4069" w:rsidRDefault="002A79FE" w:rsidP="008B7B1F">
      <w:pPr>
        <w:tabs>
          <w:tab w:val="left" w:pos="282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154"/>
        <w:gridCol w:w="622"/>
        <w:gridCol w:w="370"/>
        <w:gridCol w:w="992"/>
        <w:gridCol w:w="874"/>
        <w:gridCol w:w="133"/>
        <w:gridCol w:w="1545"/>
        <w:gridCol w:w="850"/>
        <w:gridCol w:w="851"/>
        <w:gridCol w:w="129"/>
        <w:gridCol w:w="289"/>
        <w:gridCol w:w="1537"/>
        <w:gridCol w:w="313"/>
        <w:gridCol w:w="709"/>
        <w:gridCol w:w="643"/>
      </w:tblGrid>
      <w:tr w:rsidR="00D8551E" w:rsidRPr="007C4069" w:rsidTr="00D56F29"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GENERAL INFORMATION</w:t>
            </w:r>
            <w:bookmarkStart w:id="0" w:name="_GoBack"/>
            <w:bookmarkEnd w:id="0"/>
          </w:p>
        </w:tc>
      </w:tr>
      <w:tr w:rsidR="00D8551E" w:rsidRPr="007C4069" w:rsidTr="00D8551E"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teacher 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D8551E" w:rsidP="00CD167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Professor </w:t>
            </w:r>
            <w:proofErr w:type="spellStart"/>
            <w:r w:rsidR="00E4768C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Joost</w:t>
            </w:r>
            <w:proofErr w:type="spellEnd"/>
            <w:r w:rsidR="00E4768C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1672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E4768C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an Loon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PhD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1.6.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Year of the study 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D8551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1–2</w:t>
            </w:r>
          </w:p>
        </w:tc>
      </w:tr>
      <w:tr w:rsidR="00D8551E" w:rsidRPr="007C4069" w:rsidTr="00D8551E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the course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E4768C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Risk</w:t>
            </w:r>
            <w:r w:rsidR="00D8551E"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Society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1.7.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ECTS credits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E4768C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8551E" w:rsidRPr="007C4069" w:rsidTr="00D8551E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1.3.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teachers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E4768C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Ivan Perkov</w:t>
            </w:r>
            <w:r w:rsidR="002C20A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PhD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1.8.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of instruction (number of hours L + E + S + e-learning)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0C6BF9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5 + 0 + 15</w:t>
            </w:r>
          </w:p>
        </w:tc>
      </w:tr>
      <w:tr w:rsidR="00D8551E" w:rsidRPr="007C4069" w:rsidTr="00D8551E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programme (undergraduate, graduate, integrated)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E4768C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1.9.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Expected enrolment in the course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E4768C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D8551E" w:rsidRPr="007C4069" w:rsidTr="00D8551E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1.5.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 of the course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2A79FE" w:rsidP="008B7B1F">
            <w:pPr>
              <w:tabs>
                <w:tab w:val="left" w:pos="2820"/>
              </w:tabs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6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D16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mandatory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D8551E" w:rsidP="008B7B1F">
            <w:pPr>
              <w:tabs>
                <w:tab w:val="left" w:pos="2820"/>
              </w:tabs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6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D16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elective</w:t>
            </w:r>
          </w:p>
        </w:tc>
        <w:tc>
          <w:tcPr>
            <w:tcW w:w="3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459"/>
              </w:tabs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1.10.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Level of application of e-learning (level 1, 2, 3), percentage of online instruction (max. 20%)</w:t>
            </w:r>
          </w:p>
        </w:tc>
        <w:tc>
          <w:tcPr>
            <w:tcW w:w="3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E4768C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8551E" w:rsidRPr="007C4069" w:rsidTr="00D56F29"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A79FE" w:rsidRPr="007C4069" w:rsidRDefault="008B7B1F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 w:rsidR="002A79FE"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COUSE DESCRIPTION</w:t>
            </w:r>
          </w:p>
        </w:tc>
      </w:tr>
      <w:tr w:rsidR="00D8551E" w:rsidRPr="007C4069" w:rsidTr="00D56F29"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  <w:r w:rsidR="000A504C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objectives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FE" w:rsidRPr="007C4069" w:rsidRDefault="002C20AE" w:rsidP="00D855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acquaint students with the history and development of the concept of risk society and the sociological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subdiscipline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sociology of risk. After completing the course, students will be able to observe and critically analy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 and interpret the risks of modern societies.</w:t>
            </w:r>
          </w:p>
        </w:tc>
      </w:tr>
      <w:tr w:rsidR="00D8551E" w:rsidRPr="007C4069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Enrolment requirements and/or entry competences required for the course 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2A79FE" w:rsidRPr="007C4069" w:rsidRDefault="002C20A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D8551E" w:rsidRPr="007C4069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Learning outcomes at the level of the programme to which the course contributes 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B67E1D" w:rsidRPr="007C4069" w:rsidRDefault="00B67E1D" w:rsidP="00B67E1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Critically evaluate social processes, relationships, values, phenomena, theories, paradigms and methodological approaches within the basic and applied topics of sociology</w:t>
            </w:r>
          </w:p>
          <w:p w:rsidR="00B67E1D" w:rsidRPr="007C4069" w:rsidRDefault="00B67E1D" w:rsidP="00B67E1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 and interpret social phenomena</w:t>
            </w:r>
          </w:p>
          <w:p w:rsidR="002A79FE" w:rsidRPr="007C4069" w:rsidRDefault="00B67E1D" w:rsidP="00B67E1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Interpret professional and scientific contents orally and in writing</w:t>
            </w:r>
          </w:p>
        </w:tc>
      </w:tr>
      <w:tr w:rsidR="00D8551E" w:rsidRPr="007C4069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2.4.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Expected learning outcomes at the level of the course (3 to 10 learning outcomes) 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2A79FE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Define the basic terminology of sociology of risk</w:t>
            </w:r>
          </w:p>
          <w:p w:rsidR="00215DE8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local and the global context of the contemporary risks</w:t>
            </w:r>
          </w:p>
          <w:p w:rsidR="00215DE8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the types of risk in the contemporary world</w:t>
            </w:r>
          </w:p>
          <w:p w:rsidR="00215DE8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Use the theoretical presumptions of sociology of risk in the analysis of the contemporary global phenomena</w:t>
            </w:r>
          </w:p>
          <w:p w:rsidR="00215DE8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Criticize the risk management policy in the contemporary context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Compare the approaches to the risk in regard to the cultural differences</w:t>
            </w:r>
          </w:p>
          <w:p w:rsidR="00215DE8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Propose a strategy of risk management of specific risk phenomena</w:t>
            </w:r>
          </w:p>
          <w:p w:rsidR="00215DE8" w:rsidRPr="007C4069" w:rsidRDefault="00215DE8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Evaluate the specific risk management policies. </w:t>
            </w:r>
          </w:p>
        </w:tc>
      </w:tr>
      <w:tr w:rsidR="00D8551E" w:rsidRPr="007C4069" w:rsidTr="00D56F29">
        <w:tc>
          <w:tcPr>
            <w:tcW w:w="3341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2.5.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content (syllabus)</w:t>
            </w:r>
          </w:p>
        </w:tc>
        <w:tc>
          <w:tcPr>
            <w:tcW w:w="12011" w:type="dxa"/>
            <w:gridSpan w:val="15"/>
            <w:tcBorders>
              <w:right w:val="single" w:sz="4" w:space="0" w:color="auto"/>
            </w:tcBorders>
          </w:tcPr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1. Int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roduction: What is Risk? Covid-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19 Pandemic and Risk Society.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2. Waste related risks: Case Study in Croatia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  <w:r w:rsidR="00215DE8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Addiction risks – addiction to risks? (example of alcohol consumption)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4. From Fate to Probability: The Birth of Risk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5. The Present/Presence of Uncertainty in the post- metaphysical Era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6. No Future: The Cool Apocalypse and the Culture of Fear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7. Reflexive Modernization Theory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 Functionalism and Cultural Theory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9. Governmentality Theory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Mediatization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its Consequences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The Affective Turn: Optical Mediation and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Prehending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Risks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12. The Logistics of Perception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13. Risk Flows and Actor-Network Theory</w:t>
            </w:r>
          </w:p>
          <w:p w:rsidR="00E4768C" w:rsidRPr="007C4069" w:rsidRDefault="00E4768C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14. The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Neuropolitics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Risk</w:t>
            </w:r>
          </w:p>
          <w:p w:rsidR="002A79FE" w:rsidRPr="007C4069" w:rsidRDefault="00862426" w:rsidP="00B67E1D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15. Essay deadline</w:t>
            </w:r>
            <w:r w:rsidR="00215DE8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final discussion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Course Evaluation</w:t>
            </w:r>
          </w:p>
        </w:tc>
      </w:tr>
      <w:tr w:rsidR="00D8551E" w:rsidRPr="007C4069" w:rsidTr="00D56F29">
        <w:trPr>
          <w:trHeight w:val="349"/>
        </w:trPr>
        <w:tc>
          <w:tcPr>
            <w:tcW w:w="3341" w:type="dxa"/>
            <w:vMerge w:val="restart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2.6.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of instruction:</w:t>
            </w:r>
          </w:p>
        </w:tc>
        <w:tc>
          <w:tcPr>
            <w:tcW w:w="5012" w:type="dxa"/>
            <w:gridSpan w:val="5"/>
            <w:vMerge w:val="restart"/>
            <w:vAlign w:val="center"/>
          </w:tcPr>
          <w:p w:rsidR="002A79FE" w:rsidRPr="007C4069" w:rsidRDefault="008C6167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="002A79FE"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lectures</w:t>
            </w:r>
          </w:p>
          <w:p w:rsidR="002A79FE" w:rsidRPr="007C4069" w:rsidRDefault="008C6167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1"/>
            <w:r w:rsidR="002A79FE"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seminars and workshops</w:t>
            </w:r>
          </w:p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exercises</w:t>
            </w:r>
          </w:p>
          <w:p w:rsidR="002A79FE" w:rsidRPr="007C4069" w:rsidRDefault="008C6167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2"/>
            <w:r w:rsidR="002A79FE"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online in entirety</w:t>
            </w:r>
          </w:p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partial e-learning</w:t>
            </w:r>
          </w:p>
          <w:p w:rsidR="002A79FE" w:rsidRPr="007C4069" w:rsidRDefault="002A79F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67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D167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field work</w:t>
            </w:r>
          </w:p>
        </w:tc>
        <w:tc>
          <w:tcPr>
            <w:tcW w:w="3508" w:type="dxa"/>
            <w:gridSpan w:val="5"/>
            <w:vMerge w:val="restart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independent assignments</w:t>
            </w:r>
          </w:p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multimedia and the internet</w:t>
            </w:r>
          </w:p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laboratory</w:t>
            </w:r>
          </w:p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r>
            <w:r w:rsidR="00CD167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 work with mentor</w:t>
            </w:r>
          </w:p>
          <w:p w:rsidR="002A79FE" w:rsidRPr="007C4069" w:rsidRDefault="002A79F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D16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D16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(other)</w:t>
            </w:r>
          </w:p>
        </w:tc>
        <w:tc>
          <w:tcPr>
            <w:tcW w:w="3491" w:type="dxa"/>
            <w:gridSpan w:val="5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2.7.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Comments:</w:t>
            </w:r>
          </w:p>
        </w:tc>
      </w:tr>
      <w:tr w:rsidR="00D8551E" w:rsidRPr="007C4069" w:rsidTr="00D56F29">
        <w:trPr>
          <w:trHeight w:val="577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tabs>
                <w:tab w:val="left" w:pos="306"/>
              </w:tabs>
              <w:spacing w:after="0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12" w:type="dxa"/>
            <w:gridSpan w:val="5"/>
            <w:vMerge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08" w:type="dxa"/>
            <w:gridSpan w:val="5"/>
            <w:vMerge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91" w:type="dxa"/>
            <w:gridSpan w:val="5"/>
            <w:tcBorders>
              <w:right w:val="single" w:sz="4" w:space="0" w:color="auto"/>
            </w:tcBorders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51E" w:rsidRPr="007C4069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2.8.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  <w:r w:rsidR="002A79FE" w:rsidRPr="007C4069">
              <w:rPr>
                <w:rStyle w:val="Referencakomentara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responsibilities</w:t>
            </w:r>
          </w:p>
        </w:tc>
        <w:tc>
          <w:tcPr>
            <w:tcW w:w="1201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E" w:rsidRPr="007C4069" w:rsidRDefault="00862426" w:rsidP="00D855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 attendance; active participation in discussions. Making a scientific essay on a topic related to the content of the course and its oral defen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8551E" w:rsidRPr="007C4069" w:rsidTr="00D56F29">
        <w:trPr>
          <w:trHeight w:val="230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2.9.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student work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551E" w:rsidRPr="007C4069" w:rsidTr="00D56F29">
        <w:trPr>
          <w:trHeight w:val="230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992" w:type="dxa"/>
            <w:gridSpan w:val="2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50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709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551E" w:rsidRPr="007C4069" w:rsidTr="00D56F29">
        <w:trPr>
          <w:trHeight w:val="230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992" w:type="dxa"/>
            <w:gridSpan w:val="2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2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850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A79FE" w:rsidRPr="007C4069" w:rsidRDefault="00862426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709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8551E" w:rsidRPr="007C4069" w:rsidTr="00D56F29">
        <w:trPr>
          <w:trHeight w:hRule="exact" w:val="284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Preliminary exam</w:t>
            </w:r>
          </w:p>
        </w:tc>
        <w:tc>
          <w:tcPr>
            <w:tcW w:w="992" w:type="dxa"/>
            <w:gridSpan w:val="2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gridSpan w:val="3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Practical work</w:t>
            </w:r>
          </w:p>
        </w:tc>
        <w:tc>
          <w:tcPr>
            <w:tcW w:w="850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A79FE" w:rsidRPr="007C4069" w:rsidRDefault="002A79FE" w:rsidP="00890388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406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4"/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(other)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51E" w:rsidRPr="007C4069" w:rsidTr="00D56F29">
        <w:trPr>
          <w:trHeight w:val="284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numPr>
                <w:ilvl w:val="0"/>
                <w:numId w:val="9"/>
              </w:numPr>
              <w:tabs>
                <w:tab w:val="left" w:pos="306"/>
                <w:tab w:val="left" w:pos="2820"/>
              </w:tabs>
              <w:spacing w:after="0" w:line="240" w:lineRule="auto"/>
              <w:ind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exam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ECTS credits (total)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2A79FE" w:rsidRPr="007C4069" w:rsidRDefault="00862426" w:rsidP="00D8551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8551E" w:rsidRPr="007C4069" w:rsidTr="00D56F29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  <w:tab w:val="left" w:pos="54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2.10.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Required literature (available in the library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and/or via other media) 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Number of copies in the library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Availability via other media </w:t>
            </w:r>
          </w:p>
        </w:tc>
      </w:tr>
      <w:tr w:rsidR="00D8551E" w:rsidRPr="007C4069" w:rsidTr="00D56F29">
        <w:trPr>
          <w:trHeight w:val="75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C20AE" w:rsidRPr="007C4069" w:rsidRDefault="002C20AE" w:rsidP="008B7B1F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0AE" w:rsidRPr="007C4069" w:rsidRDefault="002C20AE" w:rsidP="00D8551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Beck, U. (1992) </w:t>
            </w:r>
            <w:r w:rsidRPr="007C40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Risk Society: Towards a New Modernity.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London and New York, Sage.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0AE" w:rsidRPr="007C4069" w:rsidRDefault="002C20A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0AE" w:rsidRPr="007C4069" w:rsidRDefault="002C20A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51E" w:rsidRPr="007C4069" w:rsidTr="00D56F29">
        <w:trPr>
          <w:trHeight w:val="75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62426" w:rsidRPr="007C4069" w:rsidRDefault="00862426" w:rsidP="008B7B1F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26" w:rsidRPr="007C4069" w:rsidRDefault="00862426" w:rsidP="00D8551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Beck, U, (1994) „The Reinvention of Politics: Towards a Theory of Reflexive </w:t>
            </w:r>
            <w:proofErr w:type="gram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Modernization“ in</w:t>
            </w:r>
            <w:proofErr w:type="gram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Beck, U., Giddens, A. and Lash S. </w:t>
            </w:r>
            <w:r w:rsidRPr="007C40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Reflexive Modernization: Politics, Tradition and Aesthetics in the Modern Social Order.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Polity: 1-55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26" w:rsidRPr="007C4069" w:rsidRDefault="00862426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426" w:rsidRPr="007C4069" w:rsidRDefault="00862426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51E" w:rsidRPr="007C4069" w:rsidTr="00D56F29">
        <w:trPr>
          <w:trHeight w:val="75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864D1" w:rsidRPr="007C4069" w:rsidRDefault="008864D1" w:rsidP="008B7B1F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4D1" w:rsidRPr="007C4069" w:rsidRDefault="008864D1" w:rsidP="00D8551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Furedi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F. (2002) Culture of Fear: Risk-Taking and the Morality of Low Expectation. London: Routledge. Chapter 1,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4D1" w:rsidRPr="007C4069" w:rsidRDefault="008864D1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4D1" w:rsidRPr="007C4069" w:rsidRDefault="008864D1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51E" w:rsidRPr="007C4069" w:rsidTr="00D56F29">
        <w:trPr>
          <w:trHeight w:val="75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numPr>
                <w:ilvl w:val="0"/>
                <w:numId w:val="1"/>
              </w:numPr>
              <w:tabs>
                <w:tab w:val="left" w:pos="306"/>
                <w:tab w:val="left" w:pos="2820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FE" w:rsidRPr="007C4069" w:rsidRDefault="00B67E1D" w:rsidP="00D8551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Van Loon, J. (2002) </w:t>
            </w:r>
            <w:r w:rsidRPr="007C40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Risk and Technological Culture. Towards a Sociology of Virulence</w:t>
            </w:r>
            <w:r w:rsidR="002C20A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. London: Routledge.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51E" w:rsidRPr="007C4069" w:rsidTr="00D56F29"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2A79FE" w:rsidP="008B7B1F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8B7B1F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Optional literature</w:t>
            </w:r>
          </w:p>
        </w:tc>
        <w:tc>
          <w:tcPr>
            <w:tcW w:w="120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77" w:rsidRPr="007C4069" w:rsidRDefault="008864D1" w:rsidP="008864D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12277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Adams, J. (1995) Risk. London: UCL Press, Chapters 1, 2 and 5.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Amoore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L. (2008) “Governing by Identity” in Bennet, C.J. and Lyon, D. (eds.) Playing the Identity Card.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London: Routledge: 21-36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Agamben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G. (1998) Homo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Sacer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: Sovereign Power and Bare Life. Stanford University Press S.1-29 and S.166-180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Barbour, C. (2010) Sovereign Times: Acts of Creation. Law Culture and the Humanities 6 (2): 143-152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Bernstein, P. (1996) Against the Gods: The Remarkable Story of Risk. New York: John Wiley. Introduction and Chapter 6.</w:t>
            </w:r>
          </w:p>
          <w:p w:rsidR="00BE3766" w:rsidRPr="007C4069" w:rsidRDefault="00BE3766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Brezovec, E. (2021). '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Dimenzije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društvene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uključenosti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isključenosti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konzumacije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alkohola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Krapinsko-zagorskoj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županiji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',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Disertacija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Sveučilište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Zagrebu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Filozofski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4069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fakultet</w:t>
            </w:r>
            <w:proofErr w:type="spellEnd"/>
            <w:r w:rsidR="007C4069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Connolly, W. (2002)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Neuropolitics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: Theory out of Bounds. University of Minnesota Press: 80-112</w:t>
            </w:r>
          </w:p>
          <w:p w:rsidR="00396339" w:rsidRPr="007C4069" w:rsidRDefault="00396339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Čaldarović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 (2012)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Prema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društvu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reguliranog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rizika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(Towards the society of successful regulation of risks?) Zagreb: </w:t>
            </w:r>
            <w:proofErr w:type="spellStart"/>
            <w:r w:rsid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Hrvatsko</w:t>
            </w:r>
            <w:proofErr w:type="spellEnd"/>
            <w:r w:rsid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sociološko</w:t>
            </w:r>
            <w:proofErr w:type="spellEnd"/>
            <w:r w:rsid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društvo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Zavod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sociologiju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Filozofskog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fakulteta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Zagrebu</w:t>
            </w:r>
            <w:proofErr w:type="spellEnd"/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Doel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M. and Clarke, D. (1997) “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Transpolitical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Urbanism: Suburban Anomaly and Ambient Fear”. Space and Culture (2): 13-36.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Ericson, R.V. and Haggerty, K.D. (1997) Policing the Risk Society. UTP: 133-155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Habermas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J. (1994)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Postmetaphysical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Thinking: Between Metaphysics and the Critique of Reason. Polity Press, Chapter 1.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Kruger, M., Magnet, S. and van Loon, J, “Biometric Revisions of the Body in Airports and US Welfare Reform. Body and Society 14 (2): 99 - 121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Luhmann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N. (2005) Risk: A Sociological Theory. De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Gruyter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Chapters 3 and 6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Lupton, D. (1999)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Risk: London: Routledge, Chapters 1, 2, 3 and 5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McLuhan, M. (1964) Understanding Media. Penguin: 23-35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McNally, R. (1996) ‘Political Problems – Genetically Engineered Solutions: The Socio-Technical Translation of Fox Rabies’ in van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Dommelen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A. (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) Coping with Deliberate Release: The Limits of Risk Assessment. Tilburg: International Centre for Human and Public Affairs, p.103-19.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Merrin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W. (2005)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Baudrillard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the Media. Polity Press: 81-97</w:t>
            </w:r>
          </w:p>
          <w:p w:rsidR="00BE3766" w:rsidRPr="007C4069" w:rsidRDefault="00BE3766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Perkov, I. (2021) '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Društveni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aspekti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sustava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zbrinjavanja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otpada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Zagrebu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',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Disertacija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Sveučilište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Zagrebu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Filozofski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fakultet</w:t>
            </w:r>
            <w:proofErr w:type="spellEnd"/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Rayner, S. (1994) “Cultural Theory and Risk Analysis” in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Krimsky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S. and Golding, D. (Eds.) Social Theories of Risk.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Praeger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: 83-116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Renn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, O. (1994) “Concepts of Risk: A Classification”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Krimsky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S. and Golding, D. (Eds.) Social Theories of Risk.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Praeger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: 53-82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Rose,</w:t>
            </w:r>
            <w:r w:rsidR="00D8551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N. (2010) Political power beyond the state: problematics of government British Journal of Sociology, 2010, 61, s1, 271-30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Schmitt, C. (1974) Das Nomos von der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Erde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Berlin: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Duncker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Humboldt</w:t>
            </w:r>
          </w:p>
          <w:p w:rsidR="00B12277" w:rsidRPr="007C4069" w:rsidRDefault="00B12277" w:rsidP="00B1227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- Thompson, J. (1995) The Media and Modernity. Polity: 119-148</w:t>
            </w:r>
          </w:p>
          <w:p w:rsidR="002A79FE" w:rsidRPr="007C4069" w:rsidRDefault="00B12277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Virilio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P. (1993) Pure War. New York: </w:t>
            </w:r>
            <w:proofErr w:type="spellStart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Semiotexte</w:t>
            </w:r>
            <w:proofErr w:type="spellEnd"/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: 49-69</w:t>
            </w:r>
          </w:p>
        </w:tc>
      </w:tr>
      <w:tr w:rsidR="00D8551E" w:rsidRPr="007C4069" w:rsidTr="00D56F29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A79FE" w:rsidRPr="007C4069" w:rsidRDefault="008B7B1F" w:rsidP="008B7B1F">
            <w:pPr>
              <w:tabs>
                <w:tab w:val="left" w:pos="306"/>
                <w:tab w:val="left" w:pos="567"/>
              </w:tabs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2.12.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  <w:r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9FE" w:rsidRPr="007C4069">
              <w:rPr>
                <w:rFonts w:ascii="Arial" w:hAnsi="Arial" w:cs="Arial"/>
                <w:color w:val="000000" w:themeColor="text1"/>
                <w:sz w:val="20"/>
                <w:szCs w:val="20"/>
              </w:rPr>
              <w:t>(as the proposer wishes to add)</w:t>
            </w:r>
          </w:p>
        </w:tc>
        <w:tc>
          <w:tcPr>
            <w:tcW w:w="1201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7C4069" w:rsidRDefault="002A79FE" w:rsidP="0089038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A79FE" w:rsidRPr="007C4069" w:rsidRDefault="002A79FE" w:rsidP="002A79FE">
      <w:pPr>
        <w:tabs>
          <w:tab w:val="left" w:pos="1916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46AC0" w:rsidRPr="007C4069" w:rsidRDefault="00746AC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46AC0" w:rsidRPr="007C4069" w:rsidSect="002A79FE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D2" w:rsidRDefault="00915BD2" w:rsidP="008B7B1F">
      <w:pPr>
        <w:spacing w:after="0" w:line="240" w:lineRule="auto"/>
      </w:pPr>
      <w:r>
        <w:separator/>
      </w:r>
    </w:p>
  </w:endnote>
  <w:endnote w:type="continuationSeparator" w:id="0">
    <w:p w:rsidR="00915BD2" w:rsidRDefault="00915BD2" w:rsidP="008B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D2" w:rsidRDefault="00915BD2" w:rsidP="008B7B1F">
      <w:pPr>
        <w:spacing w:after="0" w:line="240" w:lineRule="auto"/>
      </w:pPr>
      <w:r>
        <w:separator/>
      </w:r>
    </w:p>
  </w:footnote>
  <w:footnote w:type="continuationSeparator" w:id="0">
    <w:p w:rsidR="00915BD2" w:rsidRDefault="00915BD2" w:rsidP="008B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9177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B7B1F" w:rsidRPr="008B7B1F" w:rsidRDefault="008B7B1F">
        <w:pPr>
          <w:pStyle w:val="Zaglavlje"/>
          <w:jc w:val="right"/>
          <w:rPr>
            <w:rFonts w:ascii="Arial" w:hAnsi="Arial" w:cs="Arial"/>
            <w:sz w:val="20"/>
            <w:szCs w:val="20"/>
          </w:rPr>
        </w:pPr>
        <w:r w:rsidRPr="008B7B1F">
          <w:rPr>
            <w:rFonts w:ascii="Arial" w:hAnsi="Arial" w:cs="Arial"/>
            <w:sz w:val="20"/>
            <w:szCs w:val="20"/>
          </w:rPr>
          <w:fldChar w:fldCharType="begin"/>
        </w:r>
        <w:r w:rsidRPr="008B7B1F">
          <w:rPr>
            <w:rFonts w:ascii="Arial" w:hAnsi="Arial" w:cs="Arial"/>
            <w:sz w:val="20"/>
            <w:szCs w:val="20"/>
          </w:rPr>
          <w:instrText>PAGE   \* MERGEFORMAT</w:instrText>
        </w:r>
        <w:r w:rsidRPr="008B7B1F">
          <w:rPr>
            <w:rFonts w:ascii="Arial" w:hAnsi="Arial" w:cs="Arial"/>
            <w:sz w:val="20"/>
            <w:szCs w:val="20"/>
          </w:rPr>
          <w:fldChar w:fldCharType="separate"/>
        </w:r>
        <w:r w:rsidR="00CD1672" w:rsidRPr="00CD1672">
          <w:rPr>
            <w:rFonts w:ascii="Arial" w:hAnsi="Arial" w:cs="Arial"/>
            <w:noProof/>
            <w:sz w:val="20"/>
            <w:szCs w:val="20"/>
            <w:lang w:val="hr-HR"/>
          </w:rPr>
          <w:t>1</w:t>
        </w:r>
        <w:r w:rsidRPr="008B7B1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B7B1F" w:rsidRDefault="008B7B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5DB07787"/>
    <w:multiLevelType w:val="multilevel"/>
    <w:tmpl w:val="A81A9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E"/>
    <w:rsid w:val="000A504C"/>
    <w:rsid w:val="000C6BF9"/>
    <w:rsid w:val="00215DE8"/>
    <w:rsid w:val="002A79FE"/>
    <w:rsid w:val="002C20AE"/>
    <w:rsid w:val="00373BDD"/>
    <w:rsid w:val="00396339"/>
    <w:rsid w:val="00416882"/>
    <w:rsid w:val="00746AC0"/>
    <w:rsid w:val="007B1ED4"/>
    <w:rsid w:val="007C4069"/>
    <w:rsid w:val="00862426"/>
    <w:rsid w:val="00873486"/>
    <w:rsid w:val="008864D1"/>
    <w:rsid w:val="008B7B1F"/>
    <w:rsid w:val="008C6167"/>
    <w:rsid w:val="008C6F76"/>
    <w:rsid w:val="00915BD2"/>
    <w:rsid w:val="00B12277"/>
    <w:rsid w:val="00B67E1D"/>
    <w:rsid w:val="00BE3766"/>
    <w:rsid w:val="00CC7A10"/>
    <w:rsid w:val="00CD1672"/>
    <w:rsid w:val="00D56F29"/>
    <w:rsid w:val="00D8551E"/>
    <w:rsid w:val="00E4768C"/>
    <w:rsid w:val="00E87CD9"/>
    <w:rsid w:val="00F25DEC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DF40"/>
  <w15:chartTrackingRefBased/>
  <w15:docId w15:val="{36354351-440F-452C-978E-EDA7030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F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2A79FE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Referencakomentara">
    <w:name w:val="annotation reference"/>
    <w:uiPriority w:val="99"/>
    <w:semiHidden/>
    <w:unhideWhenUsed/>
    <w:rsid w:val="002A79FE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B1F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B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B1F"/>
    <w:rPr>
      <w:rFonts w:ascii="Calibri" w:eastAsia="Calibri" w:hAnsi="Calibri" w:cs="Times New Roman"/>
      <w:lang w:val="en-GB"/>
    </w:rPr>
  </w:style>
  <w:style w:type="paragraph" w:styleId="Odlomakpopisa">
    <w:name w:val="List Paragraph"/>
    <w:basedOn w:val="Normal"/>
    <w:uiPriority w:val="34"/>
    <w:qFormat/>
    <w:rsid w:val="008B7B1F"/>
    <w:pPr>
      <w:ind w:left="720"/>
      <w:contextualSpacing/>
    </w:pPr>
  </w:style>
  <w:style w:type="paragraph" w:styleId="Bezproreda">
    <w:name w:val="No Spacing"/>
    <w:uiPriority w:val="1"/>
    <w:qFormat/>
    <w:rsid w:val="00B67E1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Rosan</dc:creator>
  <cp:keywords/>
  <dc:description/>
  <cp:lastModifiedBy>Petar</cp:lastModifiedBy>
  <cp:revision>6</cp:revision>
  <dcterms:created xsi:type="dcterms:W3CDTF">2021-06-13T17:10:00Z</dcterms:created>
  <dcterms:modified xsi:type="dcterms:W3CDTF">2021-06-16T07:39:00Z</dcterms:modified>
</cp:coreProperties>
</file>